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3E01" w14:textId="78AD0415" w:rsidR="001635D5" w:rsidRDefault="004B4247">
      <w:pPr>
        <w:contextualSpacing w:val="0"/>
        <w:rPr>
          <w:b/>
        </w:rPr>
      </w:pPr>
      <w:r>
        <w:rPr>
          <w:b/>
        </w:rPr>
        <w:t>Mapping Access to Polling Places</w:t>
      </w:r>
    </w:p>
    <w:p w14:paraId="20827FE9" w14:textId="16BC469F" w:rsidR="006E52E4" w:rsidRDefault="006E52E4">
      <w:pPr>
        <w:contextualSpacing w:val="0"/>
        <w:rPr>
          <w:b/>
        </w:rPr>
      </w:pPr>
      <w:r>
        <w:rPr>
          <w:b/>
        </w:rPr>
        <w:t>Rachel Hansen</w:t>
      </w:r>
    </w:p>
    <w:p w14:paraId="517F7DE2" w14:textId="77777777" w:rsidR="001635D5" w:rsidRDefault="001635D5">
      <w:pPr>
        <w:contextualSpacing w:val="0"/>
        <w:rPr>
          <w:b/>
        </w:rPr>
      </w:pPr>
    </w:p>
    <w:p w14:paraId="230D38EB" w14:textId="77777777" w:rsidR="001635D5" w:rsidRDefault="004B4247">
      <w:pPr>
        <w:numPr>
          <w:ilvl w:val="0"/>
          <w:numId w:val="1"/>
        </w:numPr>
        <w:rPr>
          <w:sz w:val="20"/>
          <w:szCs w:val="20"/>
        </w:rPr>
      </w:pPr>
      <w:r>
        <w:rPr>
          <w:sz w:val="20"/>
          <w:szCs w:val="20"/>
        </w:rPr>
        <w:t>Find a list of polling places for general elections from your county website.</w:t>
      </w:r>
    </w:p>
    <w:p w14:paraId="4D4D65D6" w14:textId="77777777" w:rsidR="001635D5" w:rsidRDefault="004B4247">
      <w:pPr>
        <w:numPr>
          <w:ilvl w:val="1"/>
          <w:numId w:val="1"/>
        </w:numPr>
        <w:rPr>
          <w:sz w:val="20"/>
          <w:szCs w:val="20"/>
        </w:rPr>
      </w:pPr>
      <w:r>
        <w:rPr>
          <w:sz w:val="20"/>
          <w:szCs w:val="20"/>
        </w:rPr>
        <w:t xml:space="preserve">Ex: </w:t>
      </w:r>
      <w:hyperlink r:id="rId5">
        <w:r>
          <w:rPr>
            <w:color w:val="1155CC"/>
            <w:sz w:val="20"/>
            <w:szCs w:val="20"/>
            <w:u w:val="single"/>
          </w:rPr>
          <w:t>Muscatine County</w:t>
        </w:r>
      </w:hyperlink>
    </w:p>
    <w:p w14:paraId="2D48B41C" w14:textId="77777777" w:rsidR="001635D5" w:rsidRDefault="004B4247">
      <w:pPr>
        <w:numPr>
          <w:ilvl w:val="0"/>
          <w:numId w:val="1"/>
        </w:numPr>
        <w:rPr>
          <w:sz w:val="20"/>
          <w:szCs w:val="20"/>
        </w:rPr>
      </w:pPr>
      <w:r>
        <w:rPr>
          <w:sz w:val="20"/>
          <w:szCs w:val="20"/>
        </w:rPr>
        <w:t xml:space="preserve">Open up a new map in ArcGIS online. </w:t>
      </w:r>
    </w:p>
    <w:p w14:paraId="59326931" w14:textId="77777777" w:rsidR="001635D5" w:rsidRDefault="004B4247">
      <w:pPr>
        <w:numPr>
          <w:ilvl w:val="0"/>
          <w:numId w:val="1"/>
        </w:numPr>
        <w:rPr>
          <w:sz w:val="20"/>
          <w:szCs w:val="20"/>
        </w:rPr>
      </w:pPr>
      <w:r>
        <w:rPr>
          <w:sz w:val="20"/>
          <w:szCs w:val="20"/>
        </w:rPr>
        <w:t xml:space="preserve">Click on “Add.” Then select “Add Map Notes” from the dropdown menu. </w:t>
      </w:r>
    </w:p>
    <w:p w14:paraId="7DFA6087" w14:textId="77777777" w:rsidR="001635D5" w:rsidRDefault="004B4247">
      <w:pPr>
        <w:numPr>
          <w:ilvl w:val="1"/>
          <w:numId w:val="1"/>
        </w:numPr>
        <w:rPr>
          <w:sz w:val="20"/>
          <w:szCs w:val="20"/>
        </w:rPr>
      </w:pPr>
      <w:r>
        <w:rPr>
          <w:sz w:val="20"/>
          <w:szCs w:val="20"/>
        </w:rPr>
        <w:t>Title your layer “Polling Places.”</w:t>
      </w:r>
    </w:p>
    <w:p w14:paraId="0956122F" w14:textId="77777777" w:rsidR="001635D5" w:rsidRDefault="004B4247">
      <w:pPr>
        <w:numPr>
          <w:ilvl w:val="0"/>
          <w:numId w:val="1"/>
        </w:numPr>
        <w:rPr>
          <w:sz w:val="20"/>
          <w:szCs w:val="20"/>
        </w:rPr>
      </w:pPr>
      <w:r>
        <w:rPr>
          <w:sz w:val="20"/>
          <w:szCs w:val="20"/>
        </w:rPr>
        <w:t xml:space="preserve">Use the search bar in the top-right corner to locate polling places. </w:t>
      </w:r>
    </w:p>
    <w:p w14:paraId="4604415B" w14:textId="77777777" w:rsidR="001635D5" w:rsidRDefault="004B4247">
      <w:pPr>
        <w:numPr>
          <w:ilvl w:val="0"/>
          <w:numId w:val="1"/>
        </w:numPr>
        <w:rPr>
          <w:sz w:val="20"/>
          <w:szCs w:val="20"/>
        </w:rPr>
      </w:pPr>
      <w:r>
        <w:rPr>
          <w:sz w:val="20"/>
          <w:szCs w:val="20"/>
        </w:rPr>
        <w:t xml:space="preserve">When </w:t>
      </w:r>
      <w:proofErr w:type="gramStart"/>
      <w:r>
        <w:rPr>
          <w:sz w:val="20"/>
          <w:szCs w:val="20"/>
        </w:rPr>
        <w:t>you’re</w:t>
      </w:r>
      <w:proofErr w:type="gramEnd"/>
      <w:r>
        <w:rPr>
          <w:sz w:val="20"/>
          <w:szCs w:val="20"/>
        </w:rPr>
        <w:t xml:space="preserve"> ready to mark the location, click on “Stickpin” in the edit menu on the left. Then click on the appropriate location in order to place the pin.</w:t>
      </w:r>
    </w:p>
    <w:p w14:paraId="2C4C2750" w14:textId="77777777" w:rsidR="001635D5" w:rsidRDefault="004B4247">
      <w:pPr>
        <w:numPr>
          <w:ilvl w:val="1"/>
          <w:numId w:val="1"/>
        </w:numPr>
        <w:rPr>
          <w:sz w:val="20"/>
          <w:szCs w:val="20"/>
        </w:rPr>
      </w:pPr>
      <w:r>
        <w:rPr>
          <w:sz w:val="20"/>
          <w:szCs w:val="20"/>
        </w:rPr>
        <w:t xml:space="preserve">Title the pin according to precinct/ward (i.e. “Precinct 1”). </w:t>
      </w:r>
    </w:p>
    <w:p w14:paraId="008CE715" w14:textId="77777777" w:rsidR="001635D5" w:rsidRDefault="004B4247">
      <w:pPr>
        <w:numPr>
          <w:ilvl w:val="1"/>
          <w:numId w:val="1"/>
        </w:numPr>
        <w:rPr>
          <w:sz w:val="20"/>
          <w:szCs w:val="20"/>
        </w:rPr>
      </w:pPr>
      <w:r>
        <w:rPr>
          <w:sz w:val="20"/>
          <w:szCs w:val="20"/>
        </w:rPr>
        <w:t xml:space="preserve">Add any other additional information </w:t>
      </w:r>
      <w:proofErr w:type="gramStart"/>
      <w:r>
        <w:rPr>
          <w:sz w:val="20"/>
          <w:szCs w:val="20"/>
        </w:rPr>
        <w:t>you’d</w:t>
      </w:r>
      <w:proofErr w:type="gramEnd"/>
      <w:r>
        <w:rPr>
          <w:sz w:val="20"/>
          <w:szCs w:val="20"/>
        </w:rPr>
        <w:t xml:space="preserve"> like in the description box. </w:t>
      </w:r>
    </w:p>
    <w:p w14:paraId="3889BAE4" w14:textId="77777777" w:rsidR="001635D5" w:rsidRDefault="004B4247">
      <w:pPr>
        <w:numPr>
          <w:ilvl w:val="1"/>
          <w:numId w:val="1"/>
        </w:numPr>
        <w:rPr>
          <w:sz w:val="20"/>
          <w:szCs w:val="20"/>
        </w:rPr>
      </w:pPr>
      <w:r>
        <w:rPr>
          <w:sz w:val="20"/>
          <w:szCs w:val="20"/>
        </w:rPr>
        <w:t xml:space="preserve">If </w:t>
      </w:r>
      <w:proofErr w:type="gramStart"/>
      <w:r>
        <w:rPr>
          <w:sz w:val="20"/>
          <w:szCs w:val="20"/>
        </w:rPr>
        <w:t>you’d</w:t>
      </w:r>
      <w:proofErr w:type="gramEnd"/>
      <w:r>
        <w:rPr>
          <w:sz w:val="20"/>
          <w:szCs w:val="20"/>
        </w:rPr>
        <w:t xml:space="preserve"> like to change the pin, click on “Chance Symbol.”</w:t>
      </w:r>
    </w:p>
    <w:p w14:paraId="16D38164" w14:textId="77777777" w:rsidR="001635D5" w:rsidRDefault="004B4247">
      <w:pPr>
        <w:numPr>
          <w:ilvl w:val="1"/>
          <w:numId w:val="1"/>
        </w:numPr>
        <w:rPr>
          <w:sz w:val="20"/>
          <w:szCs w:val="20"/>
        </w:rPr>
      </w:pPr>
      <w:r>
        <w:rPr>
          <w:sz w:val="20"/>
          <w:szCs w:val="20"/>
        </w:rPr>
        <w:t xml:space="preserve">Click “Close” when you are finished. You can always click on a pin to go back and make further changes. </w:t>
      </w:r>
    </w:p>
    <w:p w14:paraId="4B179FFC" w14:textId="77777777" w:rsidR="001635D5" w:rsidRDefault="004B4247">
      <w:pPr>
        <w:numPr>
          <w:ilvl w:val="0"/>
          <w:numId w:val="1"/>
        </w:numPr>
        <w:rPr>
          <w:sz w:val="20"/>
          <w:szCs w:val="20"/>
        </w:rPr>
      </w:pPr>
      <w:r>
        <w:rPr>
          <w:sz w:val="20"/>
          <w:szCs w:val="20"/>
        </w:rPr>
        <w:t xml:space="preserve">Repeat step #5 for all polling places. </w:t>
      </w:r>
    </w:p>
    <w:p w14:paraId="64616B66" w14:textId="77777777" w:rsidR="001635D5" w:rsidRDefault="004B4247">
      <w:pPr>
        <w:numPr>
          <w:ilvl w:val="0"/>
          <w:numId w:val="1"/>
        </w:numPr>
        <w:rPr>
          <w:sz w:val="20"/>
          <w:szCs w:val="20"/>
        </w:rPr>
      </w:pPr>
      <w:r>
        <w:rPr>
          <w:sz w:val="20"/>
          <w:szCs w:val="20"/>
        </w:rPr>
        <w:t>Click on “Add.” Then select “Browse Living Atlas Layers” from the dropdown menu. Add the following layers to your map by selecting them, then clicking on “Add to Map.”</w:t>
      </w:r>
    </w:p>
    <w:p w14:paraId="086214A1" w14:textId="77777777" w:rsidR="001635D5" w:rsidRDefault="004B4247">
      <w:pPr>
        <w:numPr>
          <w:ilvl w:val="1"/>
          <w:numId w:val="1"/>
        </w:numPr>
        <w:rPr>
          <w:sz w:val="20"/>
          <w:szCs w:val="20"/>
        </w:rPr>
      </w:pPr>
      <w:r>
        <w:rPr>
          <w:sz w:val="20"/>
          <w:szCs w:val="20"/>
        </w:rPr>
        <w:t>2018 USA Population Density</w:t>
      </w:r>
    </w:p>
    <w:p w14:paraId="35BE1F88" w14:textId="77777777" w:rsidR="001635D5" w:rsidRDefault="004B4247">
      <w:pPr>
        <w:numPr>
          <w:ilvl w:val="1"/>
          <w:numId w:val="1"/>
        </w:numPr>
        <w:rPr>
          <w:sz w:val="20"/>
          <w:szCs w:val="20"/>
        </w:rPr>
      </w:pPr>
      <w:r>
        <w:rPr>
          <w:sz w:val="20"/>
          <w:szCs w:val="20"/>
        </w:rPr>
        <w:t>2018 USA Average Household Income</w:t>
      </w:r>
    </w:p>
    <w:p w14:paraId="59CC8357" w14:textId="77777777" w:rsidR="001635D5" w:rsidRDefault="004B4247">
      <w:pPr>
        <w:numPr>
          <w:ilvl w:val="1"/>
          <w:numId w:val="1"/>
        </w:numPr>
        <w:rPr>
          <w:sz w:val="20"/>
          <w:szCs w:val="20"/>
        </w:rPr>
      </w:pPr>
      <w:r>
        <w:rPr>
          <w:sz w:val="20"/>
          <w:szCs w:val="20"/>
        </w:rPr>
        <w:t>2018 USA Transportation Fuel Spending</w:t>
      </w:r>
    </w:p>
    <w:p w14:paraId="15D77FC4" w14:textId="77777777" w:rsidR="001635D5" w:rsidRDefault="004B4247">
      <w:pPr>
        <w:numPr>
          <w:ilvl w:val="1"/>
          <w:numId w:val="1"/>
        </w:numPr>
        <w:rPr>
          <w:sz w:val="20"/>
          <w:szCs w:val="20"/>
        </w:rPr>
      </w:pPr>
      <w:r>
        <w:rPr>
          <w:sz w:val="20"/>
          <w:szCs w:val="20"/>
        </w:rPr>
        <w:t>USA Diversity Index</w:t>
      </w:r>
    </w:p>
    <w:p w14:paraId="074D4FE8" w14:textId="77777777" w:rsidR="001635D5" w:rsidRDefault="004B4247">
      <w:pPr>
        <w:numPr>
          <w:ilvl w:val="1"/>
          <w:numId w:val="1"/>
        </w:numPr>
        <w:rPr>
          <w:sz w:val="20"/>
          <w:szCs w:val="20"/>
        </w:rPr>
      </w:pPr>
      <w:r>
        <w:rPr>
          <w:sz w:val="20"/>
          <w:szCs w:val="20"/>
        </w:rPr>
        <w:t>CDC’s Social Vulnerability Index (SVI) - 2014 overall SVI, census tract level</w:t>
      </w:r>
    </w:p>
    <w:p w14:paraId="3BFF389F" w14:textId="77777777" w:rsidR="001635D5" w:rsidRDefault="004B4247">
      <w:pPr>
        <w:numPr>
          <w:ilvl w:val="0"/>
          <w:numId w:val="1"/>
        </w:numPr>
        <w:rPr>
          <w:sz w:val="20"/>
          <w:szCs w:val="20"/>
        </w:rPr>
      </w:pPr>
      <w:r>
        <w:rPr>
          <w:sz w:val="20"/>
          <w:szCs w:val="20"/>
        </w:rPr>
        <w:t xml:space="preserve">Next you will add a layer with the boundaries of your community’s precincts. In another tab, go to </w:t>
      </w:r>
      <w:hyperlink r:id="rId6">
        <w:r>
          <w:rPr>
            <w:color w:val="1155CC"/>
            <w:sz w:val="20"/>
            <w:szCs w:val="20"/>
            <w:u w:val="single"/>
          </w:rPr>
          <w:t>https://sos.iowa.gov/shapefiles/City%20Precincts/</w:t>
        </w:r>
      </w:hyperlink>
      <w:r>
        <w:rPr>
          <w:sz w:val="20"/>
          <w:szCs w:val="20"/>
        </w:rPr>
        <w:t xml:space="preserve"> and download the .zip file for your community or your county.</w:t>
      </w:r>
    </w:p>
    <w:p w14:paraId="492BEE39" w14:textId="77777777" w:rsidR="001635D5" w:rsidRDefault="004B4247">
      <w:pPr>
        <w:numPr>
          <w:ilvl w:val="0"/>
          <w:numId w:val="1"/>
        </w:numPr>
        <w:rPr>
          <w:sz w:val="20"/>
          <w:szCs w:val="20"/>
        </w:rPr>
      </w:pPr>
      <w:r>
        <w:rPr>
          <w:sz w:val="20"/>
          <w:szCs w:val="20"/>
        </w:rPr>
        <w:t>In ArcGIS, click on “Add.” Then select “Add Layer from File” from the dropdown menu.</w:t>
      </w:r>
    </w:p>
    <w:p w14:paraId="355EDEF8" w14:textId="77777777" w:rsidR="001635D5" w:rsidRDefault="004B4247">
      <w:pPr>
        <w:numPr>
          <w:ilvl w:val="1"/>
          <w:numId w:val="1"/>
        </w:numPr>
        <w:rPr>
          <w:sz w:val="20"/>
          <w:szCs w:val="20"/>
        </w:rPr>
      </w:pPr>
      <w:r>
        <w:rPr>
          <w:sz w:val="20"/>
          <w:szCs w:val="20"/>
        </w:rPr>
        <w:t>Click on “Choose File” and select the .zip file you just downloaded. Select “Keep original features.” Then click “Import Layer.”</w:t>
      </w:r>
    </w:p>
    <w:p w14:paraId="139C96E7" w14:textId="77777777" w:rsidR="001635D5" w:rsidRDefault="004B4247">
      <w:pPr>
        <w:numPr>
          <w:ilvl w:val="0"/>
          <w:numId w:val="1"/>
        </w:numPr>
        <w:rPr>
          <w:sz w:val="20"/>
          <w:szCs w:val="20"/>
        </w:rPr>
      </w:pPr>
      <w:r>
        <w:rPr>
          <w:sz w:val="20"/>
          <w:szCs w:val="20"/>
        </w:rPr>
        <w:t>Next you will set up the viewing preferences for your layer.</w:t>
      </w:r>
    </w:p>
    <w:p w14:paraId="7955E857" w14:textId="77777777" w:rsidR="001635D5" w:rsidRDefault="004B4247">
      <w:pPr>
        <w:numPr>
          <w:ilvl w:val="1"/>
          <w:numId w:val="1"/>
        </w:numPr>
        <w:rPr>
          <w:sz w:val="20"/>
          <w:szCs w:val="20"/>
        </w:rPr>
      </w:pPr>
      <w:r>
        <w:rPr>
          <w:sz w:val="20"/>
          <w:szCs w:val="20"/>
        </w:rPr>
        <w:t>For “1: Choose an attribute to show,” it should default to “POPULATION.”</w:t>
      </w:r>
    </w:p>
    <w:p w14:paraId="6FBF5C4C" w14:textId="77777777" w:rsidR="001635D5" w:rsidRDefault="004B4247">
      <w:pPr>
        <w:numPr>
          <w:ilvl w:val="1"/>
          <w:numId w:val="1"/>
        </w:numPr>
        <w:rPr>
          <w:sz w:val="20"/>
          <w:szCs w:val="20"/>
        </w:rPr>
      </w:pPr>
      <w:r>
        <w:rPr>
          <w:sz w:val="20"/>
          <w:szCs w:val="20"/>
        </w:rPr>
        <w:t>For “2: Select a drawing style,” scroll down to “Types: Unique symbols” and click “Options.”</w:t>
      </w:r>
    </w:p>
    <w:p w14:paraId="1B44B1D8" w14:textId="77777777" w:rsidR="001635D5" w:rsidRDefault="004B4247">
      <w:pPr>
        <w:numPr>
          <w:ilvl w:val="2"/>
          <w:numId w:val="1"/>
        </w:numPr>
        <w:rPr>
          <w:sz w:val="20"/>
          <w:szCs w:val="20"/>
        </w:rPr>
      </w:pPr>
      <w:r>
        <w:rPr>
          <w:sz w:val="20"/>
          <w:szCs w:val="20"/>
        </w:rPr>
        <w:t xml:space="preserve">Click on each of the squares to “change symbol.” Repeat this step as needed until </w:t>
      </w:r>
      <w:proofErr w:type="gramStart"/>
      <w:r>
        <w:rPr>
          <w:sz w:val="20"/>
          <w:szCs w:val="20"/>
        </w:rPr>
        <w:t>you’ve</w:t>
      </w:r>
      <w:proofErr w:type="gramEnd"/>
      <w:r>
        <w:rPr>
          <w:sz w:val="20"/>
          <w:szCs w:val="20"/>
        </w:rPr>
        <w:t xml:space="preserve"> changed all the squares. We are going to set up your map to be transparent with black outlines.</w:t>
      </w:r>
    </w:p>
    <w:p w14:paraId="3567640A" w14:textId="77777777" w:rsidR="001635D5" w:rsidRDefault="004B4247">
      <w:pPr>
        <w:numPr>
          <w:ilvl w:val="3"/>
          <w:numId w:val="1"/>
        </w:numPr>
        <w:rPr>
          <w:sz w:val="20"/>
          <w:szCs w:val="20"/>
        </w:rPr>
      </w:pPr>
      <w:r>
        <w:rPr>
          <w:sz w:val="20"/>
          <w:szCs w:val="20"/>
        </w:rPr>
        <w:t>For “FILL” select “no fill” (which is the white box with a red line through it.</w:t>
      </w:r>
    </w:p>
    <w:p w14:paraId="5A75B2CA" w14:textId="77777777" w:rsidR="001635D5" w:rsidRDefault="004B4247">
      <w:pPr>
        <w:numPr>
          <w:ilvl w:val="3"/>
          <w:numId w:val="1"/>
        </w:numPr>
        <w:rPr>
          <w:sz w:val="20"/>
          <w:szCs w:val="20"/>
        </w:rPr>
      </w:pPr>
      <w:r>
        <w:rPr>
          <w:sz w:val="20"/>
          <w:szCs w:val="20"/>
        </w:rPr>
        <w:t xml:space="preserve">For “OUTLINE” select the black square. </w:t>
      </w:r>
    </w:p>
    <w:p w14:paraId="7058E372" w14:textId="77777777" w:rsidR="001635D5" w:rsidRDefault="004B4247">
      <w:pPr>
        <w:numPr>
          <w:ilvl w:val="3"/>
          <w:numId w:val="1"/>
        </w:numPr>
        <w:rPr>
          <w:sz w:val="20"/>
          <w:szCs w:val="20"/>
        </w:rPr>
      </w:pPr>
      <w:r>
        <w:rPr>
          <w:sz w:val="20"/>
          <w:szCs w:val="20"/>
        </w:rPr>
        <w:t xml:space="preserve">Uncheck the box marked “Adjust outline automatically.” </w:t>
      </w:r>
    </w:p>
    <w:p w14:paraId="1D1A741E" w14:textId="77777777" w:rsidR="001635D5" w:rsidRDefault="004B4247">
      <w:pPr>
        <w:numPr>
          <w:ilvl w:val="3"/>
          <w:numId w:val="1"/>
        </w:numPr>
        <w:rPr>
          <w:sz w:val="20"/>
          <w:szCs w:val="20"/>
        </w:rPr>
      </w:pPr>
      <w:r>
        <w:rPr>
          <w:sz w:val="20"/>
          <w:szCs w:val="20"/>
        </w:rPr>
        <w:t>Change the transparency to 50%.</w:t>
      </w:r>
    </w:p>
    <w:p w14:paraId="1AE5655D" w14:textId="77777777" w:rsidR="001635D5" w:rsidRDefault="004B4247">
      <w:pPr>
        <w:numPr>
          <w:ilvl w:val="3"/>
          <w:numId w:val="1"/>
        </w:numPr>
        <w:rPr>
          <w:sz w:val="20"/>
          <w:szCs w:val="20"/>
        </w:rPr>
      </w:pPr>
      <w:r>
        <w:rPr>
          <w:sz w:val="20"/>
          <w:szCs w:val="20"/>
        </w:rPr>
        <w:t>Click “OK.”</w:t>
      </w:r>
    </w:p>
    <w:p w14:paraId="6D6E58AE" w14:textId="77777777" w:rsidR="001635D5" w:rsidRDefault="004B4247">
      <w:pPr>
        <w:numPr>
          <w:ilvl w:val="2"/>
          <w:numId w:val="1"/>
        </w:numPr>
        <w:rPr>
          <w:sz w:val="20"/>
          <w:szCs w:val="20"/>
        </w:rPr>
      </w:pPr>
      <w:r>
        <w:rPr>
          <w:sz w:val="20"/>
          <w:szCs w:val="20"/>
        </w:rPr>
        <w:t xml:space="preserve">Once </w:t>
      </w:r>
      <w:proofErr w:type="gramStart"/>
      <w:r>
        <w:rPr>
          <w:sz w:val="20"/>
          <w:szCs w:val="20"/>
        </w:rPr>
        <w:t>you’ve</w:t>
      </w:r>
      <w:proofErr w:type="gramEnd"/>
      <w:r>
        <w:rPr>
          <w:sz w:val="20"/>
          <w:szCs w:val="20"/>
        </w:rPr>
        <w:t xml:space="preserve"> changed all your boxes, click on “OK.” at the bottom. The click on “DONE.” The precinct layer will be added to your map. It will be titled by the name of your city.</w:t>
      </w:r>
    </w:p>
    <w:p w14:paraId="3D4CF862" w14:textId="77777777" w:rsidR="001635D5" w:rsidRDefault="004B4247">
      <w:pPr>
        <w:numPr>
          <w:ilvl w:val="0"/>
          <w:numId w:val="1"/>
        </w:numPr>
        <w:rPr>
          <w:sz w:val="20"/>
          <w:szCs w:val="20"/>
        </w:rPr>
      </w:pPr>
      <w:r w:rsidRPr="006E52E4">
        <w:rPr>
          <w:sz w:val="20"/>
          <w:szCs w:val="20"/>
        </w:rPr>
        <w:t>Click the blue floppy disk and then → “Save As” to save your work.</w:t>
      </w:r>
    </w:p>
    <w:p w14:paraId="4CE1941A" w14:textId="77777777" w:rsidR="001635D5" w:rsidRDefault="001635D5">
      <w:pPr>
        <w:contextualSpacing w:val="0"/>
        <w:rPr>
          <w:sz w:val="20"/>
          <w:szCs w:val="20"/>
        </w:rPr>
      </w:pPr>
    </w:p>
    <w:p w14:paraId="5F4BC40D" w14:textId="77777777" w:rsidR="006E52E4" w:rsidRDefault="006E52E4">
      <w:pPr>
        <w:rPr>
          <w:b/>
          <w:sz w:val="20"/>
          <w:szCs w:val="20"/>
        </w:rPr>
      </w:pPr>
      <w:r>
        <w:rPr>
          <w:b/>
          <w:sz w:val="20"/>
          <w:szCs w:val="20"/>
        </w:rPr>
        <w:br w:type="page"/>
      </w:r>
    </w:p>
    <w:p w14:paraId="42861B0F" w14:textId="696B954E" w:rsidR="001635D5" w:rsidRDefault="004B4247">
      <w:pPr>
        <w:contextualSpacing w:val="0"/>
        <w:rPr>
          <w:sz w:val="20"/>
          <w:szCs w:val="20"/>
        </w:rPr>
      </w:pPr>
      <w:r>
        <w:rPr>
          <w:b/>
          <w:sz w:val="20"/>
          <w:szCs w:val="20"/>
        </w:rPr>
        <w:lastRenderedPageBreak/>
        <w:t>Questions</w:t>
      </w:r>
    </w:p>
    <w:p w14:paraId="2DC8E6B7" w14:textId="77777777" w:rsidR="001635D5" w:rsidRDefault="001635D5">
      <w:pPr>
        <w:contextualSpacing w:val="0"/>
        <w:rPr>
          <w:sz w:val="20"/>
          <w:szCs w:val="20"/>
        </w:rPr>
      </w:pPr>
    </w:p>
    <w:p w14:paraId="0F47D346" w14:textId="77777777" w:rsidR="001635D5" w:rsidRDefault="004B4247">
      <w:pPr>
        <w:numPr>
          <w:ilvl w:val="0"/>
          <w:numId w:val="2"/>
        </w:numPr>
        <w:rPr>
          <w:sz w:val="20"/>
          <w:szCs w:val="20"/>
        </w:rPr>
      </w:pPr>
      <w:r>
        <w:rPr>
          <w:sz w:val="20"/>
          <w:szCs w:val="20"/>
        </w:rPr>
        <w:t>Is access to polling places in your community equal? What is the standard by which we should measure fair and equal access to polling places?</w:t>
      </w:r>
    </w:p>
    <w:p w14:paraId="5180E145" w14:textId="77777777" w:rsidR="001635D5" w:rsidRDefault="004B4247">
      <w:pPr>
        <w:numPr>
          <w:ilvl w:val="0"/>
          <w:numId w:val="4"/>
        </w:numPr>
        <w:rPr>
          <w:sz w:val="20"/>
          <w:szCs w:val="20"/>
        </w:rPr>
      </w:pPr>
      <w:r>
        <w:rPr>
          <w:sz w:val="20"/>
          <w:szCs w:val="20"/>
        </w:rPr>
        <w:t>Population density</w:t>
      </w:r>
    </w:p>
    <w:p w14:paraId="584F00C9" w14:textId="77777777" w:rsidR="001635D5" w:rsidRDefault="004B4247">
      <w:pPr>
        <w:numPr>
          <w:ilvl w:val="0"/>
          <w:numId w:val="4"/>
        </w:numPr>
        <w:rPr>
          <w:sz w:val="20"/>
          <w:szCs w:val="20"/>
        </w:rPr>
      </w:pPr>
      <w:r>
        <w:rPr>
          <w:sz w:val="20"/>
          <w:szCs w:val="20"/>
        </w:rPr>
        <w:t>Household income</w:t>
      </w:r>
    </w:p>
    <w:p w14:paraId="69DE0E5C" w14:textId="77777777" w:rsidR="001635D5" w:rsidRDefault="004B4247">
      <w:pPr>
        <w:numPr>
          <w:ilvl w:val="0"/>
          <w:numId w:val="4"/>
        </w:numPr>
        <w:rPr>
          <w:sz w:val="20"/>
          <w:szCs w:val="20"/>
        </w:rPr>
      </w:pPr>
      <w:r>
        <w:rPr>
          <w:sz w:val="20"/>
          <w:szCs w:val="20"/>
        </w:rPr>
        <w:t>Access to transportation</w:t>
      </w:r>
    </w:p>
    <w:p w14:paraId="06D9DC7B" w14:textId="77777777" w:rsidR="001635D5" w:rsidRDefault="004B4247">
      <w:pPr>
        <w:numPr>
          <w:ilvl w:val="0"/>
          <w:numId w:val="4"/>
        </w:numPr>
        <w:rPr>
          <w:sz w:val="20"/>
          <w:szCs w:val="20"/>
        </w:rPr>
      </w:pPr>
      <w:r>
        <w:rPr>
          <w:sz w:val="20"/>
          <w:szCs w:val="20"/>
        </w:rPr>
        <w:t>Level of education</w:t>
      </w:r>
    </w:p>
    <w:p w14:paraId="6EEC143A" w14:textId="77777777" w:rsidR="001635D5" w:rsidRDefault="004B4247">
      <w:pPr>
        <w:numPr>
          <w:ilvl w:val="0"/>
          <w:numId w:val="4"/>
        </w:numPr>
        <w:rPr>
          <w:sz w:val="20"/>
          <w:szCs w:val="20"/>
        </w:rPr>
      </w:pPr>
      <w:r>
        <w:rPr>
          <w:sz w:val="20"/>
          <w:szCs w:val="20"/>
        </w:rPr>
        <w:t>Race and/or ethnicity</w:t>
      </w:r>
    </w:p>
    <w:p w14:paraId="4262F930" w14:textId="77777777" w:rsidR="001635D5" w:rsidRDefault="001635D5">
      <w:pPr>
        <w:contextualSpacing w:val="0"/>
        <w:rPr>
          <w:sz w:val="20"/>
          <w:szCs w:val="20"/>
        </w:rPr>
      </w:pPr>
    </w:p>
    <w:p w14:paraId="69FE8106" w14:textId="77777777" w:rsidR="001635D5" w:rsidRDefault="004B4247">
      <w:pPr>
        <w:numPr>
          <w:ilvl w:val="0"/>
          <w:numId w:val="2"/>
        </w:numPr>
        <w:rPr>
          <w:sz w:val="20"/>
          <w:szCs w:val="20"/>
        </w:rPr>
      </w:pPr>
      <w:r>
        <w:rPr>
          <w:sz w:val="20"/>
          <w:szCs w:val="20"/>
        </w:rPr>
        <w:t>Where should polling places be located within precincts? How many voting machines are necessary at each polling place? How much staff?</w:t>
      </w:r>
    </w:p>
    <w:p w14:paraId="6F6D77DF" w14:textId="77777777" w:rsidR="001635D5" w:rsidRDefault="001635D5">
      <w:pPr>
        <w:contextualSpacing w:val="0"/>
        <w:rPr>
          <w:sz w:val="20"/>
          <w:szCs w:val="20"/>
        </w:rPr>
      </w:pPr>
    </w:p>
    <w:p w14:paraId="36964717" w14:textId="77777777" w:rsidR="001635D5" w:rsidRDefault="004B4247">
      <w:pPr>
        <w:numPr>
          <w:ilvl w:val="0"/>
          <w:numId w:val="2"/>
        </w:numPr>
        <w:rPr>
          <w:sz w:val="20"/>
          <w:szCs w:val="20"/>
        </w:rPr>
      </w:pPr>
      <w:r>
        <w:rPr>
          <w:sz w:val="20"/>
          <w:szCs w:val="20"/>
        </w:rPr>
        <w:t>What factors need to be taken into consideration that might not be accounted for on the map?</w:t>
      </w:r>
    </w:p>
    <w:p w14:paraId="3E320776" w14:textId="77777777" w:rsidR="001635D5" w:rsidRDefault="004B4247">
      <w:pPr>
        <w:numPr>
          <w:ilvl w:val="0"/>
          <w:numId w:val="3"/>
        </w:numPr>
        <w:rPr>
          <w:sz w:val="20"/>
          <w:szCs w:val="20"/>
        </w:rPr>
      </w:pPr>
      <w:r>
        <w:rPr>
          <w:sz w:val="20"/>
          <w:szCs w:val="20"/>
        </w:rPr>
        <w:t>Time to vote</w:t>
      </w:r>
    </w:p>
    <w:p w14:paraId="205505FF" w14:textId="77777777" w:rsidR="001635D5" w:rsidRDefault="004B4247">
      <w:pPr>
        <w:numPr>
          <w:ilvl w:val="0"/>
          <w:numId w:val="3"/>
        </w:numPr>
        <w:rPr>
          <w:sz w:val="20"/>
          <w:szCs w:val="20"/>
        </w:rPr>
      </w:pPr>
      <w:r>
        <w:rPr>
          <w:sz w:val="20"/>
          <w:szCs w:val="20"/>
        </w:rPr>
        <w:t>Voter registration (times/locations)</w:t>
      </w:r>
    </w:p>
    <w:p w14:paraId="78D3D017" w14:textId="77777777" w:rsidR="001635D5" w:rsidRDefault="004B4247">
      <w:pPr>
        <w:numPr>
          <w:ilvl w:val="0"/>
          <w:numId w:val="3"/>
        </w:numPr>
        <w:rPr>
          <w:sz w:val="20"/>
          <w:szCs w:val="20"/>
        </w:rPr>
      </w:pPr>
      <w:r>
        <w:rPr>
          <w:sz w:val="20"/>
          <w:szCs w:val="20"/>
        </w:rPr>
        <w:t>Voter ID laws</w:t>
      </w:r>
    </w:p>
    <w:p w14:paraId="70E2F4FE" w14:textId="77777777" w:rsidR="001635D5" w:rsidRDefault="004B4247">
      <w:pPr>
        <w:numPr>
          <w:ilvl w:val="0"/>
          <w:numId w:val="3"/>
        </w:numPr>
        <w:rPr>
          <w:sz w:val="20"/>
          <w:szCs w:val="20"/>
        </w:rPr>
      </w:pPr>
      <w:r>
        <w:rPr>
          <w:sz w:val="20"/>
          <w:szCs w:val="20"/>
        </w:rPr>
        <w:t>Learning about candidates</w:t>
      </w:r>
    </w:p>
    <w:p w14:paraId="4DDDB12E" w14:textId="77777777" w:rsidR="001635D5" w:rsidRDefault="004B4247">
      <w:pPr>
        <w:numPr>
          <w:ilvl w:val="0"/>
          <w:numId w:val="3"/>
        </w:numPr>
        <w:rPr>
          <w:sz w:val="20"/>
          <w:szCs w:val="20"/>
        </w:rPr>
      </w:pPr>
      <w:r>
        <w:rPr>
          <w:sz w:val="20"/>
          <w:szCs w:val="20"/>
        </w:rPr>
        <w:t>Understanding ballot use</w:t>
      </w:r>
    </w:p>
    <w:p w14:paraId="4CE303C2" w14:textId="77777777" w:rsidR="001635D5" w:rsidRDefault="004B4247">
      <w:pPr>
        <w:numPr>
          <w:ilvl w:val="0"/>
          <w:numId w:val="3"/>
        </w:numPr>
        <w:rPr>
          <w:sz w:val="20"/>
          <w:szCs w:val="20"/>
        </w:rPr>
      </w:pPr>
      <w:r>
        <w:rPr>
          <w:sz w:val="20"/>
          <w:szCs w:val="20"/>
        </w:rPr>
        <w:t>…?</w:t>
      </w:r>
    </w:p>
    <w:p w14:paraId="38930B74" w14:textId="77777777" w:rsidR="001635D5" w:rsidRDefault="001635D5">
      <w:pPr>
        <w:ind w:left="1440"/>
        <w:contextualSpacing w:val="0"/>
      </w:pPr>
    </w:p>
    <w:p w14:paraId="7C2B3488" w14:textId="77777777" w:rsidR="001635D5" w:rsidRDefault="004B4247">
      <w:pPr>
        <w:contextualSpacing w:val="0"/>
        <w:rPr>
          <w:sz w:val="20"/>
          <w:szCs w:val="20"/>
        </w:rPr>
      </w:pPr>
      <w:r>
        <w:rPr>
          <w:b/>
          <w:sz w:val="20"/>
          <w:szCs w:val="20"/>
        </w:rPr>
        <w:t>Additional Resources for Classroom Discussion</w:t>
      </w:r>
    </w:p>
    <w:p w14:paraId="208B4BFB" w14:textId="77777777" w:rsidR="001635D5" w:rsidRDefault="001635D5">
      <w:pPr>
        <w:contextualSpacing w:val="0"/>
        <w:rPr>
          <w:sz w:val="20"/>
          <w:szCs w:val="20"/>
        </w:rPr>
      </w:pPr>
    </w:p>
    <w:p w14:paraId="1AEE985B" w14:textId="77777777" w:rsidR="001635D5" w:rsidRDefault="004B4247">
      <w:pPr>
        <w:contextualSpacing w:val="0"/>
        <w:rPr>
          <w:sz w:val="20"/>
          <w:szCs w:val="20"/>
        </w:rPr>
      </w:pPr>
      <w:r>
        <w:rPr>
          <w:sz w:val="20"/>
          <w:szCs w:val="20"/>
        </w:rPr>
        <w:t xml:space="preserve">John </w:t>
      </w:r>
      <w:proofErr w:type="spellStart"/>
      <w:r>
        <w:rPr>
          <w:sz w:val="20"/>
          <w:szCs w:val="20"/>
        </w:rPr>
        <w:t>Whitesides</w:t>
      </w:r>
      <w:proofErr w:type="spellEnd"/>
      <w:r>
        <w:rPr>
          <w:sz w:val="20"/>
          <w:szCs w:val="20"/>
        </w:rPr>
        <w:t xml:space="preserve">. “Polling places become battleground in U.S. voting rights fight.” </w:t>
      </w:r>
      <w:r>
        <w:rPr>
          <w:i/>
          <w:sz w:val="20"/>
          <w:szCs w:val="20"/>
        </w:rPr>
        <w:t>Reuters</w:t>
      </w:r>
      <w:r>
        <w:rPr>
          <w:sz w:val="20"/>
          <w:szCs w:val="20"/>
        </w:rPr>
        <w:t>. 16 Sept 2016. [</w:t>
      </w:r>
      <w:hyperlink r:id="rId7">
        <w:r>
          <w:rPr>
            <w:color w:val="1155CC"/>
            <w:sz w:val="20"/>
            <w:szCs w:val="20"/>
            <w:u w:val="single"/>
          </w:rPr>
          <w:t>Online Article</w:t>
        </w:r>
      </w:hyperlink>
      <w:r>
        <w:rPr>
          <w:sz w:val="20"/>
          <w:szCs w:val="20"/>
        </w:rPr>
        <w:t>]</w:t>
      </w:r>
    </w:p>
    <w:p w14:paraId="4E578910" w14:textId="77777777" w:rsidR="001635D5" w:rsidRDefault="001635D5">
      <w:pPr>
        <w:contextualSpacing w:val="0"/>
        <w:rPr>
          <w:sz w:val="20"/>
          <w:szCs w:val="20"/>
        </w:rPr>
      </w:pPr>
    </w:p>
    <w:p w14:paraId="0F3218E3" w14:textId="77777777" w:rsidR="001635D5" w:rsidRDefault="004B4247">
      <w:pPr>
        <w:contextualSpacing w:val="0"/>
        <w:rPr>
          <w:sz w:val="20"/>
          <w:szCs w:val="20"/>
        </w:rPr>
      </w:pPr>
      <w:r>
        <w:rPr>
          <w:sz w:val="20"/>
          <w:szCs w:val="20"/>
        </w:rPr>
        <w:t xml:space="preserve">Michael Wines. “Critics Say North Carolina Is Curbing Black Vote. Again.” </w:t>
      </w:r>
      <w:r>
        <w:rPr>
          <w:i/>
          <w:sz w:val="20"/>
          <w:szCs w:val="20"/>
        </w:rPr>
        <w:t>The New York Times</w:t>
      </w:r>
      <w:r>
        <w:rPr>
          <w:sz w:val="20"/>
          <w:szCs w:val="20"/>
        </w:rPr>
        <w:t>. 30 Aug 2016. [</w:t>
      </w:r>
      <w:hyperlink r:id="rId8">
        <w:r>
          <w:rPr>
            <w:color w:val="1155CC"/>
            <w:sz w:val="20"/>
            <w:szCs w:val="20"/>
            <w:u w:val="single"/>
          </w:rPr>
          <w:t>Online Article</w:t>
        </w:r>
      </w:hyperlink>
      <w:r>
        <w:rPr>
          <w:sz w:val="20"/>
          <w:szCs w:val="20"/>
        </w:rPr>
        <w:t>]</w:t>
      </w:r>
    </w:p>
    <w:p w14:paraId="0FF1696D" w14:textId="77777777" w:rsidR="001635D5" w:rsidRDefault="001635D5">
      <w:pPr>
        <w:contextualSpacing w:val="0"/>
        <w:rPr>
          <w:sz w:val="20"/>
          <w:szCs w:val="20"/>
        </w:rPr>
      </w:pPr>
    </w:p>
    <w:p w14:paraId="3B662D79" w14:textId="77777777" w:rsidR="001635D5" w:rsidRDefault="004B4247">
      <w:pPr>
        <w:contextualSpacing w:val="0"/>
        <w:rPr>
          <w:sz w:val="20"/>
          <w:szCs w:val="20"/>
        </w:rPr>
      </w:pPr>
      <w:r>
        <w:rPr>
          <w:sz w:val="20"/>
          <w:szCs w:val="20"/>
        </w:rPr>
        <w:t xml:space="preserve">Fernanda Santos.  “Angry Arizona Voters Demand: Why Such Long Lines at Polling Sites?” </w:t>
      </w:r>
      <w:r>
        <w:rPr>
          <w:i/>
          <w:sz w:val="20"/>
          <w:szCs w:val="20"/>
        </w:rPr>
        <w:t>The New York Times</w:t>
      </w:r>
      <w:r>
        <w:rPr>
          <w:sz w:val="20"/>
          <w:szCs w:val="20"/>
        </w:rPr>
        <w:t>. 24 Mar 2016. [</w:t>
      </w:r>
      <w:hyperlink r:id="rId9">
        <w:r>
          <w:rPr>
            <w:color w:val="1155CC"/>
            <w:sz w:val="20"/>
            <w:szCs w:val="20"/>
            <w:u w:val="single"/>
          </w:rPr>
          <w:t>Online Article</w:t>
        </w:r>
      </w:hyperlink>
      <w:r>
        <w:rPr>
          <w:sz w:val="20"/>
          <w:szCs w:val="20"/>
        </w:rPr>
        <w:t>]</w:t>
      </w:r>
    </w:p>
    <w:p w14:paraId="59EB619C" w14:textId="77777777" w:rsidR="001635D5" w:rsidRDefault="001635D5">
      <w:pPr>
        <w:contextualSpacing w:val="0"/>
        <w:rPr>
          <w:sz w:val="20"/>
          <w:szCs w:val="20"/>
        </w:rPr>
      </w:pPr>
    </w:p>
    <w:p w14:paraId="360C71AB" w14:textId="77777777" w:rsidR="001635D5" w:rsidRDefault="004B4247">
      <w:pPr>
        <w:contextualSpacing w:val="0"/>
        <w:rPr>
          <w:sz w:val="20"/>
          <w:szCs w:val="20"/>
        </w:rPr>
      </w:pPr>
      <w:r>
        <w:rPr>
          <w:sz w:val="20"/>
          <w:szCs w:val="20"/>
        </w:rPr>
        <w:t xml:space="preserve">Santiago Olivella. “Other Frontiers: Voting Precincts and Associated Voting Costs.” </w:t>
      </w:r>
      <w:r>
        <w:rPr>
          <w:i/>
          <w:sz w:val="20"/>
          <w:szCs w:val="20"/>
        </w:rPr>
        <w:t>Metric Geometry of Redistricting Workshop</w:t>
      </w:r>
      <w:r>
        <w:rPr>
          <w:sz w:val="20"/>
          <w:szCs w:val="20"/>
        </w:rPr>
        <w:t>. [</w:t>
      </w:r>
      <w:hyperlink r:id="rId10">
        <w:r>
          <w:rPr>
            <w:color w:val="1155CC"/>
            <w:sz w:val="20"/>
            <w:szCs w:val="20"/>
            <w:u w:val="single"/>
          </w:rPr>
          <w:t>Online Presentation</w:t>
        </w:r>
      </w:hyperlink>
      <w:r>
        <w:rPr>
          <w:sz w:val="20"/>
          <w:szCs w:val="20"/>
        </w:rPr>
        <w:t>]</w:t>
      </w:r>
    </w:p>
    <w:p w14:paraId="1671785A" w14:textId="77777777" w:rsidR="001635D5" w:rsidRDefault="004B4247">
      <w:pPr>
        <w:contextualSpacing w:val="0"/>
        <w:rPr>
          <w:sz w:val="20"/>
          <w:szCs w:val="20"/>
        </w:rPr>
      </w:pPr>
      <w:r>
        <w:rPr>
          <w:noProof/>
          <w:sz w:val="20"/>
          <w:szCs w:val="20"/>
          <w:lang w:val="en-US"/>
        </w:rPr>
        <w:lastRenderedPageBreak/>
        <w:drawing>
          <wp:inline distT="114300" distB="114300" distL="114300" distR="114300" wp14:anchorId="6E03D33D" wp14:editId="23CBBC74">
            <wp:extent cx="5943600" cy="4143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7051"/>
                    <a:stretch>
                      <a:fillRect/>
                    </a:stretch>
                  </pic:blipFill>
                  <pic:spPr>
                    <a:xfrm>
                      <a:off x="0" y="0"/>
                      <a:ext cx="5943600" cy="4143375"/>
                    </a:xfrm>
                    <a:prstGeom prst="rect">
                      <a:avLst/>
                    </a:prstGeom>
                    <a:ln/>
                  </pic:spPr>
                </pic:pic>
              </a:graphicData>
            </a:graphic>
          </wp:inline>
        </w:drawing>
      </w:r>
    </w:p>
    <w:p w14:paraId="1A22D643" w14:textId="77777777" w:rsidR="001635D5" w:rsidRDefault="001635D5">
      <w:pPr>
        <w:contextualSpacing w:val="0"/>
        <w:rPr>
          <w:sz w:val="20"/>
          <w:szCs w:val="20"/>
        </w:rPr>
      </w:pPr>
    </w:p>
    <w:p w14:paraId="45827958" w14:textId="77777777" w:rsidR="001635D5" w:rsidRDefault="001635D5">
      <w:pPr>
        <w:contextualSpacing w:val="0"/>
        <w:rPr>
          <w:sz w:val="20"/>
          <w:szCs w:val="20"/>
        </w:rPr>
      </w:pPr>
    </w:p>
    <w:p w14:paraId="3975F6DE" w14:textId="77777777" w:rsidR="001635D5" w:rsidRDefault="001635D5">
      <w:pPr>
        <w:contextualSpacing w:val="0"/>
        <w:rPr>
          <w:sz w:val="20"/>
          <w:szCs w:val="20"/>
        </w:rPr>
      </w:pPr>
    </w:p>
    <w:p w14:paraId="7D8C6A93" w14:textId="77777777" w:rsidR="001635D5" w:rsidRDefault="001635D5">
      <w:pPr>
        <w:contextualSpacing w:val="0"/>
        <w:rPr>
          <w:b/>
          <w:sz w:val="20"/>
          <w:szCs w:val="20"/>
        </w:rPr>
      </w:pPr>
    </w:p>
    <w:p w14:paraId="0EE197FF" w14:textId="77777777" w:rsidR="001635D5" w:rsidRDefault="001635D5">
      <w:pPr>
        <w:contextualSpacing w:val="0"/>
        <w:rPr>
          <w:b/>
          <w:sz w:val="20"/>
          <w:szCs w:val="20"/>
        </w:rPr>
      </w:pPr>
    </w:p>
    <w:p w14:paraId="7F90B839" w14:textId="77777777" w:rsidR="001635D5" w:rsidRDefault="001635D5">
      <w:pPr>
        <w:contextualSpacing w:val="0"/>
        <w:rPr>
          <w:b/>
          <w:sz w:val="20"/>
          <w:szCs w:val="20"/>
        </w:rPr>
      </w:pPr>
    </w:p>
    <w:p w14:paraId="6DF85173" w14:textId="77777777" w:rsidR="001635D5" w:rsidRDefault="001635D5">
      <w:pPr>
        <w:contextualSpacing w:val="0"/>
        <w:rPr>
          <w:b/>
          <w:sz w:val="20"/>
          <w:szCs w:val="20"/>
        </w:rPr>
      </w:pPr>
    </w:p>
    <w:p w14:paraId="6A599499" w14:textId="77777777" w:rsidR="001635D5" w:rsidRDefault="001635D5">
      <w:pPr>
        <w:contextualSpacing w:val="0"/>
        <w:rPr>
          <w:b/>
          <w:sz w:val="20"/>
          <w:szCs w:val="20"/>
        </w:rPr>
      </w:pPr>
    </w:p>
    <w:p w14:paraId="09A69A1C" w14:textId="77777777" w:rsidR="001635D5" w:rsidRDefault="001635D5">
      <w:pPr>
        <w:contextualSpacing w:val="0"/>
        <w:rPr>
          <w:b/>
          <w:sz w:val="20"/>
          <w:szCs w:val="20"/>
        </w:rPr>
      </w:pPr>
    </w:p>
    <w:p w14:paraId="5772E68F" w14:textId="77777777" w:rsidR="001635D5" w:rsidRDefault="001635D5">
      <w:pPr>
        <w:contextualSpacing w:val="0"/>
      </w:pPr>
    </w:p>
    <w:sectPr w:rsidR="001635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573"/>
    <w:multiLevelType w:val="multilevel"/>
    <w:tmpl w:val="EB4A3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445C7E"/>
    <w:multiLevelType w:val="multilevel"/>
    <w:tmpl w:val="2F820A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D5C2A08"/>
    <w:multiLevelType w:val="multilevel"/>
    <w:tmpl w:val="81A656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4AD6B92"/>
    <w:multiLevelType w:val="multilevel"/>
    <w:tmpl w:val="12EC5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D5"/>
    <w:rsid w:val="001635D5"/>
    <w:rsid w:val="004B4247"/>
    <w:rsid w:val="006E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91A7"/>
  <w15:docId w15:val="{AFC8C667-70D5-432B-BC75-7951EEF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ytimes.com/2016/08/31/us/politics/election-rules-north-carolin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uters.com/article/us-usa-election-vote-precincts-insight-idUSKCN11M0W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s.iowa.gov/shapefiles/City%20Precincts/" TargetMode="External"/><Relationship Id="rId11" Type="http://schemas.openxmlformats.org/officeDocument/2006/relationships/image" Target="media/image1.png"/><Relationship Id="rId5" Type="http://schemas.openxmlformats.org/officeDocument/2006/relationships/hyperlink" Target="https://www.co.muscatine.ia.us/DocumentCenter/View/59/Muscatine-County-General-Election-Polling-Locations-PDF?bidId=" TargetMode="External"/><Relationship Id="rId10" Type="http://schemas.openxmlformats.org/officeDocument/2006/relationships/hyperlink" Target="https://sites.tufts.edu/gerrymandr/files/2018/03/Olivella.pdf" TargetMode="External"/><Relationship Id="rId4" Type="http://schemas.openxmlformats.org/officeDocument/2006/relationships/webSettings" Target="webSettings.xml"/><Relationship Id="rId9" Type="http://schemas.openxmlformats.org/officeDocument/2006/relationships/hyperlink" Target="https://www.nytimes.com/2016/03/25/us/angry-arizona-voters-demand-why-such-long-lines-at-polling-si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Theobald</dc:creator>
  <cp:lastModifiedBy>Rebecca Theobald</cp:lastModifiedBy>
  <cp:revision>2</cp:revision>
  <dcterms:created xsi:type="dcterms:W3CDTF">2020-11-25T00:40:00Z</dcterms:created>
  <dcterms:modified xsi:type="dcterms:W3CDTF">2020-11-25T00:40:00Z</dcterms:modified>
</cp:coreProperties>
</file>