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3138C1"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Arkansas</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3138C1"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Arkansas</w:t>
      </w:r>
      <w:r w:rsidR="00DA5C7E" w:rsidRPr="005F364E">
        <w:rPr>
          <w:rFonts w:ascii="Verdana" w:eastAsia="Times New Roman" w:hAnsi="Verdana" w:cs="Times New Roman"/>
          <w:color w:val="000000"/>
          <w:sz w:val="24"/>
          <w:szCs w:val="24"/>
        </w:rPr>
        <w:t xml:space="preserve"> has </w:t>
      </w:r>
      <w:proofErr w:type="gramStart"/>
      <w:r>
        <w:rPr>
          <w:rFonts w:ascii="Verdana" w:eastAsia="Times New Roman" w:hAnsi="Verdana" w:cs="Times New Roman"/>
          <w:color w:val="000000"/>
          <w:sz w:val="24"/>
          <w:szCs w:val="24"/>
        </w:rPr>
        <w:t>4</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Pr>
          <w:rFonts w:ascii="Verdana" w:eastAsia="Times New Roman" w:hAnsi="Verdana" w:cs="Times New Roman"/>
          <w:color w:val="000000"/>
          <w:sz w:val="24"/>
          <w:szCs w:val="24"/>
        </w:rPr>
        <w:t>75</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3138C1">
        <w:rPr>
          <w:rFonts w:ascii="Verdana" w:eastAsia="Times New Roman" w:hAnsi="Verdana" w:cs="Times New Roman"/>
          <w:color w:val="000000"/>
          <w:sz w:val="24"/>
          <w:szCs w:val="24"/>
        </w:rPr>
        <w:t>Arkansas</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FD2E17">
      <w:pPr>
        <w:pStyle w:val="ListParagraph"/>
        <w:numPr>
          <w:ilvl w:val="0"/>
          <w:numId w:val="8"/>
        </w:num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go to</w:t>
      </w:r>
      <w:r w:rsidR="00FD2E17">
        <w:rPr>
          <w:rFonts w:ascii="Verdana" w:eastAsia="Times New Roman" w:hAnsi="Verdana" w:cs="Times New Roman"/>
          <w:color w:val="000000"/>
          <w:sz w:val="24"/>
          <w:szCs w:val="24"/>
        </w:rPr>
        <w:t xml:space="preserve"> [</w:t>
      </w:r>
      <w:r w:rsidR="00FD2E17" w:rsidRPr="00FD2E17">
        <w:rPr>
          <w:rFonts w:ascii="Verdana" w:eastAsia="Times New Roman" w:hAnsi="Verdana" w:cs="Times New Roman"/>
          <w:color w:val="000000"/>
          <w:sz w:val="24"/>
          <w:szCs w:val="24"/>
        </w:rPr>
        <w:t>http://arcg.is/baOuX</w:t>
      </w:r>
      <w:r w:rsidR="00FD2E17">
        <w:rPr>
          <w:rFonts w:ascii="Verdana" w:eastAsia="Times New Roman" w:hAnsi="Verdana" w:cs="Times New Roman"/>
          <w:color w:val="000000"/>
          <w:sz w:val="24"/>
          <w:szCs w:val="24"/>
        </w:rPr>
        <w:t>]</w:t>
      </w:r>
      <w:r w:rsidR="008F786E">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 xml:space="preserve">e </w:t>
      </w:r>
      <w:r w:rsidR="003138C1">
        <w:rPr>
          <w:rFonts w:ascii="Verdana" w:eastAsia="Times New Roman" w:hAnsi="Verdana" w:cs="Times New Roman"/>
          <w:color w:val="000000"/>
          <w:sz w:val="24"/>
          <w:szCs w:val="24"/>
        </w:rPr>
        <w:t>to the left, to make sure all 75</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3138C1">
        <w:rPr>
          <w:rFonts w:ascii="Verdana" w:eastAsia="Times New Roman" w:hAnsi="Verdana" w:cs="Times New Roman"/>
          <w:i/>
          <w:color w:val="000000"/>
          <w:sz w:val="24"/>
          <w:szCs w:val="24"/>
        </w:rPr>
        <w:t>Arkansas</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lastRenderedPageBreak/>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3138C1">
        <w:rPr>
          <w:rFonts w:ascii="Verdana" w:eastAsia="Times New Roman" w:hAnsi="Verdana" w:cs="Times New Roman"/>
          <w:color w:val="000000"/>
          <w:sz w:val="24"/>
          <w:szCs w:val="24"/>
        </w:rPr>
        <w:t>Arkansas</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1121CC"/>
    <w:rsid w:val="0011629D"/>
    <w:rsid w:val="00184A66"/>
    <w:rsid w:val="00195D00"/>
    <w:rsid w:val="00202E41"/>
    <w:rsid w:val="002635E0"/>
    <w:rsid w:val="002861D8"/>
    <w:rsid w:val="002B7CFD"/>
    <w:rsid w:val="002C21F2"/>
    <w:rsid w:val="002E438D"/>
    <w:rsid w:val="002F2D76"/>
    <w:rsid w:val="002F6DFA"/>
    <w:rsid w:val="003138C1"/>
    <w:rsid w:val="003228D2"/>
    <w:rsid w:val="00394DB9"/>
    <w:rsid w:val="004D2F4D"/>
    <w:rsid w:val="004E6A2A"/>
    <w:rsid w:val="005150A4"/>
    <w:rsid w:val="005250B7"/>
    <w:rsid w:val="00532F8F"/>
    <w:rsid w:val="005753AC"/>
    <w:rsid w:val="005D3D4E"/>
    <w:rsid w:val="005F364E"/>
    <w:rsid w:val="006000FA"/>
    <w:rsid w:val="00645506"/>
    <w:rsid w:val="006771E0"/>
    <w:rsid w:val="006922A4"/>
    <w:rsid w:val="00696B99"/>
    <w:rsid w:val="0073059F"/>
    <w:rsid w:val="007515FB"/>
    <w:rsid w:val="0079063C"/>
    <w:rsid w:val="007F6F9D"/>
    <w:rsid w:val="008613F1"/>
    <w:rsid w:val="008F786E"/>
    <w:rsid w:val="00932114"/>
    <w:rsid w:val="00942088"/>
    <w:rsid w:val="009A08D5"/>
    <w:rsid w:val="009A38EC"/>
    <w:rsid w:val="009B0380"/>
    <w:rsid w:val="00A166CE"/>
    <w:rsid w:val="00A81612"/>
    <w:rsid w:val="00AB3B9F"/>
    <w:rsid w:val="00AE2A5A"/>
    <w:rsid w:val="00B11A22"/>
    <w:rsid w:val="00BD3051"/>
    <w:rsid w:val="00BE5C03"/>
    <w:rsid w:val="00C42D08"/>
    <w:rsid w:val="00C47766"/>
    <w:rsid w:val="00C658B9"/>
    <w:rsid w:val="00CA37E9"/>
    <w:rsid w:val="00CE62BA"/>
    <w:rsid w:val="00D058CE"/>
    <w:rsid w:val="00D0726F"/>
    <w:rsid w:val="00D34B9B"/>
    <w:rsid w:val="00DA5C7E"/>
    <w:rsid w:val="00E67452"/>
    <w:rsid w:val="00E71615"/>
    <w:rsid w:val="00E921B4"/>
    <w:rsid w:val="00E92B5A"/>
    <w:rsid w:val="00EA5405"/>
    <w:rsid w:val="00F53F30"/>
    <w:rsid w:val="00FD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82FE"/>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4</cp:revision>
  <dcterms:created xsi:type="dcterms:W3CDTF">2018-12-16T02:51:00Z</dcterms:created>
  <dcterms:modified xsi:type="dcterms:W3CDTF">2019-02-20T05:37:00Z</dcterms:modified>
</cp:coreProperties>
</file>